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A1A3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A1A3A"/>
          <w:spacing w:val="0"/>
          <w:position w:val="0"/>
          <w:sz w:val="28"/>
          <w:shd w:fill="auto" w:val="clear"/>
        </w:rPr>
        <w:t xml:space="preserve">Если ребёнок плохо ест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40404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A1A3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FA1A3A"/>
          <w:spacing w:val="0"/>
          <w:position w:val="0"/>
          <w:sz w:val="22"/>
          <w:shd w:fill="auto" w:val="clear"/>
        </w:rPr>
        <w:t xml:space="preserve">Как предотвратить проблему</w:t>
      </w:r>
    </w:p>
    <w:p>
      <w:pPr>
        <w:numPr>
          <w:ilvl w:val="0"/>
          <w:numId w:val="4"/>
        </w:numPr>
        <w:spacing w:before="0" w:after="0" w:line="276"/>
        <w:ind w:right="0" w:left="502" w:hanging="360"/>
        <w:jc w:val="left"/>
        <w:rPr>
          <w:rFonts w:ascii="Times New Roman" w:hAnsi="Times New Roman" w:cs="Times New Roman" w:eastAsia="Times New Roman"/>
          <w:i/>
          <w:color w:val="262626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Вы - пример поведения за столом, поэтому должны есть вместе с ребёнком, и тоже, что и он.</w:t>
      </w:r>
    </w:p>
    <w:p>
      <w:pPr>
        <w:numPr>
          <w:ilvl w:val="0"/>
          <w:numId w:val="4"/>
        </w:numPr>
        <w:spacing w:before="0" w:after="0" w:line="276"/>
        <w:ind w:right="0" w:left="502" w:hanging="36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Ребёнку следует предложить поесть, но ни в коем случае не заставлять его насильно.</w:t>
      </w:r>
    </w:p>
    <w:p>
      <w:pPr>
        <w:numPr>
          <w:ilvl w:val="0"/>
          <w:numId w:val="4"/>
        </w:numPr>
        <w:spacing w:before="0" w:after="0" w:line="276"/>
        <w:ind w:right="0" w:left="502" w:hanging="36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Предложите: 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Пожалуйста, съешь по маленькому кусочку каждого блюда, иначе это будет невежливо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».</w:t>
      </w:r>
    </w:p>
    <w:p>
      <w:pPr>
        <w:numPr>
          <w:ilvl w:val="0"/>
          <w:numId w:val="4"/>
        </w:numPr>
        <w:spacing w:before="0" w:after="0" w:line="276"/>
        <w:ind w:right="0" w:left="502" w:hanging="36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Ребёнок имеет право отказаться съесть 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даже по маленькому кусочку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>
      <w:pPr>
        <w:numPr>
          <w:ilvl w:val="0"/>
          <w:numId w:val="4"/>
        </w:numPr>
        <w:spacing w:before="0" w:after="0" w:line="276"/>
        <w:ind w:right="0" w:left="502" w:hanging="36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За едой вовлекайте ребёнка в спокойный разговор.</w:t>
      </w:r>
    </w:p>
    <w:p>
      <w:pPr>
        <w:numPr>
          <w:ilvl w:val="0"/>
          <w:numId w:val="4"/>
        </w:numPr>
        <w:spacing w:before="0" w:after="0" w:line="276"/>
        <w:ind w:right="0" w:left="502" w:hanging="36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Почаще готовьте что-нибудь вместе.</w:t>
      </w:r>
    </w:p>
    <w:p>
      <w:pPr>
        <w:numPr>
          <w:ilvl w:val="0"/>
          <w:numId w:val="4"/>
        </w:numPr>
        <w:spacing w:before="0" w:after="0" w:line="276"/>
        <w:ind w:right="0" w:left="502" w:hanging="360"/>
        <w:jc w:val="left"/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262626"/>
          <w:spacing w:val="0"/>
          <w:position w:val="0"/>
          <w:sz w:val="22"/>
          <w:shd w:fill="auto" w:val="clear"/>
        </w:rPr>
        <w:t xml:space="preserve">Не делайте ребёнку замечаний во время еды.</w:t>
      </w: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40404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  <w:t xml:space="preserve">Как справиться с проблемой,</w:t>
      </w: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E36C0A"/>
          <w:spacing w:val="0"/>
          <w:position w:val="0"/>
          <w:sz w:val="24"/>
          <w:shd w:fill="auto" w:val="clear"/>
        </w:rPr>
        <w:t xml:space="preserve">если она уже есть?</w:t>
      </w:r>
    </w:p>
    <w:p>
      <w:pPr>
        <w:spacing w:before="0" w:after="200" w:line="276"/>
        <w:ind w:right="0" w:left="502" w:firstLine="0"/>
        <w:jc w:val="center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  <w:t xml:space="preserve">Если ребёнок слишком быстро заглатывает пищу:</w:t>
      </w: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  <w:t xml:space="preserve">Если ребёнок ест слишком вяло:</w:t>
      </w: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  <w:t xml:space="preserve">Если ребёнок слишком разборчив в еде:</w:t>
      </w: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502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FA1A3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A1A3A"/>
          <w:spacing w:val="0"/>
          <w:position w:val="0"/>
          <w:sz w:val="27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FA1A3A"/>
          <w:spacing w:val="0"/>
          <w:position w:val="0"/>
          <w:sz w:val="28"/>
          <w:shd w:fill="auto" w:val="clear"/>
        </w:rPr>
        <w:t xml:space="preserve">Сервировка стола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333399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</w:pPr>
      <w:r>
        <w:object w:dxaOrig="3690" w:dyaOrig="2372">
          <v:rect xmlns:o="urn:schemas-microsoft-com:office:office" xmlns:v="urn:schemas-microsoft-com:vml" id="rectole0000000000" style="width:184.500000pt;height:118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7030A0"/>
          <w:spacing w:val="0"/>
          <w:position w:val="0"/>
          <w:sz w:val="28"/>
          <w:shd w:fill="auto" w:val="clear"/>
        </w:rPr>
        <w:t xml:space="preserve">Правила поведения за столом.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Ваш ребенок достаточно взрослый, для тех требований, которые к нему будут предъявляться. То, чему Вы научите ребенка в раннем возрасте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останется на всю жизнь.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развалившись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то прольешь на себя суп из ложки…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2"/>
          <w:shd w:fill="auto" w:val="clear"/>
        </w:rPr>
        <w:t xml:space="preserve">Родители, помните!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 Вести себя ДОМА нужно ТАК ЖЕ, КАК И В ГОСТЯХ! Никогда не давайте скидку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ничего страшного, он же дома! Здесь же все свои!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ЕСЛИ это нельзя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это нельзя ВСЕГДА!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40404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ЕСЛИ это можно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это можно ВСЕГДА!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40404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2"/>
        </w:numPr>
        <w:spacing w:before="0" w:after="0" w:line="276"/>
        <w:ind w:right="0" w:left="360" w:hanging="360"/>
        <w:jc w:val="left"/>
        <w:rPr>
          <w:rFonts w:ascii="Calibri" w:hAnsi="Calibri" w:cs="Calibri" w:eastAsia="Calibri"/>
          <w:b/>
          <w:color w:val="40404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Правильно держат ложку и вилку.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object w:dxaOrig="2394" w:dyaOrig="1224">
          <v:rect xmlns:o="urn:schemas-microsoft-com:office:office" xmlns:v="urn:schemas-microsoft-com:vml" id="rectole0000000001" style="width:119.700000pt;height:61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2492" w:dyaOrig="1224">
          <v:rect xmlns:o="urn:schemas-microsoft-com:office:office" xmlns:v="urn:schemas-microsoft-com:vml" id="rectole0000000002" style="width:124.600000pt;height:61.2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Умеют пользоваться ножом.</w:t>
      </w:r>
    </w:p>
    <w:p>
      <w:pPr>
        <w:numPr>
          <w:ilvl w:val="0"/>
          <w:numId w:val="15"/>
        </w:numPr>
        <w:spacing w:before="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Не стучат столовыми приборами о тарелку,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чашку.</w:t>
      </w:r>
    </w:p>
    <w:p>
      <w:pPr>
        <w:numPr>
          <w:ilvl w:val="0"/>
          <w:numId w:val="17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Не едят с целого куска.</w:t>
      </w:r>
    </w:p>
    <w:p>
      <w:pPr>
        <w:numPr>
          <w:ilvl w:val="0"/>
          <w:numId w:val="17"/>
        </w:numPr>
        <w:spacing w:before="0" w:after="0" w:line="240"/>
        <w:ind w:right="0" w:left="284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Не выбирают кусок на тарелке.</w:t>
      </w:r>
    </w:p>
    <w:p>
      <w:pPr>
        <w:numPr>
          <w:ilvl w:val="0"/>
          <w:numId w:val="17"/>
        </w:numPr>
        <w:spacing w:before="0" w:after="0" w:line="240"/>
        <w:ind w:right="0" w:left="284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Яичницу, рыбу, котлету, запеканку, рулеты </w:t>
      </w:r>
    </w:p>
    <w:p>
      <w:pPr>
        <w:spacing w:before="0" w:after="0" w:line="240"/>
        <w:ind w:right="0" w:left="284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едят с помощьювилки (см.рис.), без ножа.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object w:dxaOrig="2304" w:dyaOrig="1152">
          <v:rect xmlns:o="urn:schemas-microsoft-com:office:office" xmlns:v="urn:schemas-microsoft-com:vml" id="rectole0000000003" style="width:115.200000pt;height:57.6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numPr>
          <w:ilvl w:val="0"/>
          <w:numId w:val="21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Не вылизывают тарелку, не выливают в </w:t>
      </w:r>
    </w:p>
    <w:p>
      <w:pPr>
        <w:spacing w:before="0" w:after="0" w:line="240"/>
        <w:ind w:right="0" w:left="426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ложку, не пьют из тарелки.</w:t>
      </w:r>
    </w:p>
    <w:p>
      <w:pPr>
        <w:numPr>
          <w:ilvl w:val="0"/>
          <w:numId w:val="23"/>
        </w:numPr>
        <w:spacing w:before="0" w:after="0" w:line="240"/>
        <w:ind w:right="0" w:left="426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Суп сначала пробуют, а потом едят, набирая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1/3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ложки, направляя в рот боковой частью.</w:t>
      </w:r>
    </w:p>
    <w:p>
      <w:pPr>
        <w:numPr>
          <w:ilvl w:val="0"/>
          <w:numId w:val="2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При доедании супа тарелку наклоняют от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себя.</w:t>
      </w:r>
    </w:p>
    <w:p>
      <w:pPr>
        <w:numPr>
          <w:ilvl w:val="0"/>
          <w:numId w:val="27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Не запрокидывают голову во время питья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компота.</w:t>
      </w:r>
    </w:p>
    <w:p>
      <w:pPr>
        <w:numPr>
          <w:ilvl w:val="0"/>
          <w:numId w:val="2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Не наклоняются низко над тарелкой.</w:t>
      </w:r>
    </w:p>
    <w:p>
      <w:pPr>
        <w:numPr>
          <w:ilvl w:val="0"/>
          <w:numId w:val="2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Пережевывают пищу с закрытым ртом.</w:t>
      </w:r>
    </w:p>
    <w:p>
      <w:pPr>
        <w:numPr>
          <w:ilvl w:val="0"/>
          <w:numId w:val="2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Не чавкают.</w:t>
      </w:r>
    </w:p>
    <w:p>
      <w:pPr>
        <w:numPr>
          <w:ilvl w:val="0"/>
          <w:numId w:val="29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Умеют пользоваться салфеткой, не вытирают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рот, а прикладывают ко рту.</w:t>
      </w:r>
    </w:p>
    <w:p>
      <w:pPr>
        <w:numPr>
          <w:ilvl w:val="0"/>
          <w:numId w:val="31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Использованную салфетку кладут справа под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бортик тарелки.</w:t>
      </w:r>
    </w:p>
    <w:p>
      <w:pPr>
        <w:numPr>
          <w:ilvl w:val="0"/>
          <w:numId w:val="33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Использованные столовые приборы: ножи,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вилки, ложки, кладут на тарелки параллельно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ручками влево, причем вилку зубцами вниз.</w:t>
      </w:r>
    </w:p>
    <w:p>
      <w:pPr>
        <w:numPr>
          <w:ilvl w:val="0"/>
          <w:numId w:val="3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Благодарят после еды и убирают посуду.</w:t>
      </w:r>
    </w:p>
    <w:p>
      <w:pPr>
        <w:numPr>
          <w:ilvl w:val="0"/>
          <w:numId w:val="3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При временном прекращении еды кладут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столовые приборы на бортик тарелки.</w:t>
      </w:r>
    </w:p>
    <w:p>
      <w:pPr>
        <w:numPr>
          <w:ilvl w:val="0"/>
          <w:numId w:val="37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  <w:t xml:space="preserve">После еды пополощи рот.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40404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МБОУ ЕОШ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224" w:dyaOrig="1314">
          <v:rect xmlns:o="urn:schemas-microsoft-com:office:office" xmlns:v="urn:schemas-microsoft-com:vml" id="rectole0000000004" style="width:61.200000pt;height:65.7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36"/>
          <w:shd w:fill="auto" w:val="clear"/>
        </w:rPr>
        <w:t xml:space="preserve">Для родителей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40"/>
          <w:shd w:fill="auto" w:val="clear"/>
        </w:rPr>
        <w:t xml:space="preserve">Здоровое питание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4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40"/>
          <w:shd w:fill="auto" w:val="clear"/>
        </w:rPr>
        <w:t xml:space="preserve">здоровый ребёнок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40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4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object w:dxaOrig="3650" w:dyaOrig="2915">
          <v:rect xmlns:o="urn:schemas-microsoft-com:office:office" xmlns:v="urn:schemas-microsoft-com:vml" id="rectole0000000005" style="width:182.500000pt;height:145.75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  <w:t xml:space="preserve">22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shd w:fill="auto" w:val="clear"/>
        </w:rPr>
        <w:t xml:space="preserve">г.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40404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404040"/>
          <w:spacing w:val="0"/>
          <w:position w:val="0"/>
          <w:sz w:val="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4">
    <w:abstractNumId w:val="72"/>
  </w:num>
  <w:num w:numId="12">
    <w:abstractNumId w:val="66"/>
  </w:num>
  <w:num w:numId="15">
    <w:abstractNumId w:val="60"/>
  </w:num>
  <w:num w:numId="17">
    <w:abstractNumId w:val="54"/>
  </w:num>
  <w:num w:numId="21">
    <w:abstractNumId w:val="48"/>
  </w:num>
  <w:num w:numId="23">
    <w:abstractNumId w:val="42"/>
  </w:num>
  <w:num w:numId="25">
    <w:abstractNumId w:val="36"/>
  </w:num>
  <w:num w:numId="27">
    <w:abstractNumId w:val="30"/>
  </w:num>
  <w:num w:numId="29">
    <w:abstractNumId w:val="24"/>
  </w:num>
  <w:num w:numId="31">
    <w:abstractNumId w:val="18"/>
  </w:num>
  <w:num w:numId="33">
    <w:abstractNumId w:val="12"/>
  </w:num>
  <w:num w:numId="35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